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3" w:rsidRPr="003B4238" w:rsidRDefault="00E765C3">
      <w:pPr>
        <w:widowControl/>
        <w:spacing w:line="360" w:lineRule="auto"/>
        <w:jc w:val="center"/>
        <w:rPr>
          <w:rFonts w:ascii="宋体" w:cs="宋体"/>
          <w:b/>
          <w:kern w:val="0"/>
          <w:sz w:val="32"/>
          <w:szCs w:val="32"/>
        </w:rPr>
      </w:pPr>
      <w:r w:rsidRPr="003B4238">
        <w:rPr>
          <w:rFonts w:ascii="宋体" w:hAnsi="宋体" w:cs="宋体" w:hint="eastAsia"/>
          <w:b/>
          <w:kern w:val="0"/>
          <w:sz w:val="32"/>
          <w:szCs w:val="32"/>
        </w:rPr>
        <w:t>葡萄酒学院轻工技术与工程（发酵工程）</w:t>
      </w:r>
    </w:p>
    <w:p w:rsidR="00E765C3" w:rsidRPr="003B4238" w:rsidRDefault="00E765C3">
      <w:pPr>
        <w:widowControl/>
        <w:spacing w:line="360" w:lineRule="auto"/>
        <w:jc w:val="center"/>
        <w:rPr>
          <w:rFonts w:ascii="宋体" w:cs="宋体"/>
          <w:b/>
          <w:kern w:val="0"/>
          <w:sz w:val="32"/>
          <w:szCs w:val="32"/>
        </w:rPr>
      </w:pPr>
      <w:r w:rsidRPr="003B4238">
        <w:rPr>
          <w:rFonts w:ascii="宋体" w:hAnsi="宋体" w:cs="宋体" w:hint="eastAsia"/>
          <w:b/>
          <w:kern w:val="0"/>
          <w:sz w:val="32"/>
          <w:szCs w:val="32"/>
        </w:rPr>
        <w:t>研究生主要培养环节要求及考核细则</w:t>
      </w:r>
    </w:p>
    <w:p w:rsidR="00E765C3" w:rsidRPr="003B4238" w:rsidRDefault="00E765C3">
      <w:pPr>
        <w:spacing w:line="360" w:lineRule="auto"/>
        <w:rPr>
          <w:rFonts w:ascii="宋体"/>
          <w:b/>
          <w:sz w:val="28"/>
          <w:szCs w:val="28"/>
        </w:rPr>
      </w:pP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</w:pPr>
      <w:r w:rsidRPr="003B4238">
        <w:rPr>
          <w:rFonts w:ascii="宋体" w:hAnsi="宋体" w:hint="eastAsia"/>
          <w:b/>
          <w:sz w:val="24"/>
        </w:rPr>
        <w:t>一、论文开题报告</w:t>
      </w:r>
      <w:r w:rsidRPr="003B4238">
        <w:rPr>
          <w:rFonts w:ascii="宋体" w:hAnsi="宋体"/>
          <w:b/>
          <w:sz w:val="24"/>
        </w:rPr>
        <w:t>(2</w:t>
      </w:r>
      <w:r w:rsidRPr="003B4238">
        <w:rPr>
          <w:rFonts w:ascii="宋体" w:hAnsi="宋体" w:hint="eastAsia"/>
          <w:b/>
          <w:sz w:val="24"/>
        </w:rPr>
        <w:t>学分</w:t>
      </w:r>
      <w:r w:rsidRPr="003B4238">
        <w:rPr>
          <w:rFonts w:ascii="宋体" w:hAnsi="宋体"/>
          <w:b/>
          <w:sz w:val="24"/>
        </w:rPr>
        <w:t>)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 w:hint="eastAsia"/>
          <w:kern w:val="0"/>
          <w:sz w:val="24"/>
        </w:rPr>
        <w:t>研究生在导师和指导小组指导下，通过调查研究确定研究课题，在阅读大量相关文献的基础上，撰写开题报告</w:t>
      </w:r>
      <w:r w:rsidRPr="003B4238">
        <w:rPr>
          <w:rFonts w:ascii="宋体" w:hAnsi="宋体" w:cs="宋体"/>
          <w:kern w:val="0"/>
          <w:sz w:val="24"/>
        </w:rPr>
        <w:t xml:space="preserve">, </w:t>
      </w:r>
      <w:r w:rsidRPr="003B4238">
        <w:rPr>
          <w:rFonts w:ascii="宋体" w:hAnsi="宋体" w:cs="宋体" w:hint="eastAsia"/>
          <w:kern w:val="0"/>
          <w:sz w:val="24"/>
        </w:rPr>
        <w:t>制订论文工作计划。开题报告应包含文献综述、选题背景及其目的意义、研究内容、研究方案、工作特色及难点、预期成果及可能的创新点、经费预算、参考文献等。开题报告应按规范要求撰写。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Times" w:hAnsi="宋体" w:cs="宋体" w:hint="eastAsia"/>
          <w:kern w:val="0"/>
          <w:sz w:val="24"/>
        </w:rPr>
        <w:t>硕士研究生须在第</w:t>
      </w:r>
      <w:r w:rsidRPr="003B4238">
        <w:rPr>
          <w:rFonts w:ascii="Times" w:hAnsi="宋体" w:cs="宋体"/>
          <w:kern w:val="0"/>
          <w:sz w:val="24"/>
        </w:rPr>
        <w:t>3</w:t>
      </w:r>
      <w:r w:rsidRPr="003B4238">
        <w:rPr>
          <w:rFonts w:ascii="Times" w:hAnsi="宋体" w:cs="宋体" w:hint="eastAsia"/>
          <w:kern w:val="0"/>
          <w:sz w:val="24"/>
        </w:rPr>
        <w:t>学期结束前完成开题，具体时间由学科点决定。</w:t>
      </w:r>
      <w:r w:rsidRPr="003B4238">
        <w:rPr>
          <w:rFonts w:ascii="宋体" w:hAnsi="宋体" w:cs="宋体" w:hint="eastAsia"/>
          <w:kern w:val="0"/>
          <w:sz w:val="24"/>
        </w:rPr>
        <w:t>开题报告首先由导师审核同意，然后在学科点范围内公开进行评审，需由本学科及相近学科专业</w:t>
      </w:r>
      <w:r w:rsidRPr="003B4238">
        <w:rPr>
          <w:rFonts w:ascii="宋体" w:hAnsi="宋体" w:cs="宋体"/>
          <w:kern w:val="0"/>
          <w:sz w:val="24"/>
        </w:rPr>
        <w:t>5</w:t>
      </w:r>
      <w:r w:rsidRPr="003B4238">
        <w:rPr>
          <w:rFonts w:ascii="宋体" w:hAnsi="宋体" w:cs="宋体" w:hint="eastAsia"/>
          <w:kern w:val="0"/>
          <w:sz w:val="24"/>
        </w:rPr>
        <w:t>人以上（含</w:t>
      </w:r>
      <w:r w:rsidRPr="003B4238">
        <w:rPr>
          <w:rFonts w:ascii="宋体" w:hAnsi="宋体" w:cs="宋体"/>
          <w:kern w:val="0"/>
          <w:sz w:val="24"/>
        </w:rPr>
        <w:t>5</w:t>
      </w:r>
      <w:r w:rsidRPr="003B4238">
        <w:rPr>
          <w:rFonts w:ascii="宋体" w:hAnsi="宋体" w:cs="宋体" w:hint="eastAsia"/>
          <w:kern w:val="0"/>
          <w:sz w:val="24"/>
        </w:rPr>
        <w:t>人）专家组成评审小组（或导师指导小组）进行考核评审，提出具体的评价和修改意见。在论文研究工作过程中，如果论文课题有重大变动，应重新开题。开题报告未通过者可限期整改后重新提交评审，重新评审仍未通过者不能取得本环节规定学分，按照《西北农林科技大学研究生管理规定》处理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/>
          <w:sz w:val="24"/>
        </w:rPr>
      </w:pPr>
      <w:r w:rsidRPr="003B4238">
        <w:rPr>
          <w:rFonts w:ascii="Times" w:hAnsi="宋体" w:cs="宋体" w:hint="eastAsia"/>
          <w:kern w:val="0"/>
          <w:sz w:val="24"/>
        </w:rPr>
        <w:t>经评审通过的开题报告，应以</w:t>
      </w:r>
      <w:r w:rsidRPr="003B4238">
        <w:rPr>
          <w:rFonts w:ascii="宋体" w:hAnsi="宋体" w:cs="宋体" w:hint="eastAsia"/>
          <w:kern w:val="0"/>
          <w:sz w:val="24"/>
        </w:rPr>
        <w:t>书面</w:t>
      </w:r>
      <w:r w:rsidRPr="003B4238">
        <w:rPr>
          <w:rFonts w:ascii="Times" w:hAnsi="宋体" w:cs="宋体" w:hint="eastAsia"/>
          <w:kern w:val="0"/>
          <w:sz w:val="24"/>
        </w:rPr>
        <w:t>形式交院研究生管理部门备案，并在研究生培养档案中保存。</w:t>
      </w:r>
    </w:p>
    <w:p w:rsidR="00E765C3" w:rsidRPr="003B4238" w:rsidRDefault="00E765C3">
      <w:pPr>
        <w:spacing w:line="360" w:lineRule="auto"/>
        <w:rPr>
          <w:rFonts w:ascii="宋体"/>
          <w:sz w:val="24"/>
        </w:rPr>
      </w:pP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</w:pPr>
      <w:r w:rsidRPr="003B4238">
        <w:rPr>
          <w:rFonts w:ascii="宋体" w:hAnsi="宋体" w:hint="eastAsia"/>
          <w:b/>
          <w:sz w:val="24"/>
        </w:rPr>
        <w:t>二、研究生学术交流考核要求（学分可拆开）</w:t>
      </w:r>
    </w:p>
    <w:p w:rsidR="00E765C3" w:rsidRPr="003B4238" w:rsidRDefault="00E765C3" w:rsidP="00BB607F">
      <w:pPr>
        <w:spacing w:line="360" w:lineRule="auto"/>
        <w:ind w:firstLineChars="200" w:firstLine="31680"/>
        <w:outlineLvl w:val="0"/>
        <w:rPr>
          <w:rFonts w:ascii="宋体"/>
          <w:b/>
          <w:sz w:val="24"/>
        </w:rPr>
      </w:pPr>
      <w:r w:rsidRPr="003B4238">
        <w:rPr>
          <w:rFonts w:ascii="宋体" w:hAnsi="宋体"/>
          <w:b/>
          <w:sz w:val="24"/>
        </w:rPr>
        <w:t>1.</w:t>
      </w:r>
      <w:r w:rsidRPr="003B4238">
        <w:rPr>
          <w:rFonts w:ascii="宋体" w:hAnsi="宋体" w:hint="eastAsia"/>
          <w:b/>
          <w:sz w:val="24"/>
        </w:rPr>
        <w:t>听学术报告（</w:t>
      </w:r>
      <w:r w:rsidRPr="003B4238">
        <w:rPr>
          <w:rFonts w:ascii="宋体" w:hAnsi="宋体"/>
          <w:b/>
          <w:sz w:val="24"/>
        </w:rPr>
        <w:t>1</w:t>
      </w:r>
      <w:r w:rsidRPr="003B4238">
        <w:rPr>
          <w:rFonts w:ascii="宋体" w:hAnsi="宋体" w:hint="eastAsia"/>
          <w:b/>
          <w:sz w:val="24"/>
        </w:rPr>
        <w:t>学分）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 w:hint="eastAsia"/>
          <w:kern w:val="0"/>
          <w:sz w:val="24"/>
        </w:rPr>
        <w:t>研究生在学习过程中至少参加</w:t>
      </w:r>
      <w:r w:rsidRPr="003B4238">
        <w:rPr>
          <w:rFonts w:ascii="宋体" w:hAnsi="宋体" w:cs="宋体"/>
          <w:kern w:val="0"/>
          <w:sz w:val="24"/>
        </w:rPr>
        <w:t>12</w:t>
      </w:r>
      <w:r w:rsidRPr="003B4238">
        <w:rPr>
          <w:rFonts w:ascii="宋体" w:hAnsi="宋体" w:cs="宋体" w:hint="eastAsia"/>
          <w:kern w:val="0"/>
          <w:sz w:val="24"/>
        </w:rPr>
        <w:t>次学术报告。参加学术报告时，应认真做好报告记录，在报告后两日内将报告记录提交给导师，导师根据报告记录及报告对该生的学习研究帮助的大小，对报告记录进行评价，分别评为甲、乙、丙三个档次。甲记为</w:t>
      </w:r>
      <w:r w:rsidRPr="003B4238">
        <w:rPr>
          <w:rFonts w:ascii="宋体" w:hAnsi="宋体" w:cs="宋体"/>
          <w:kern w:val="0"/>
          <w:sz w:val="24"/>
        </w:rPr>
        <w:t>8</w:t>
      </w:r>
      <w:r w:rsidRPr="003B4238">
        <w:rPr>
          <w:rFonts w:ascii="宋体" w:hAnsi="宋体" w:cs="宋体" w:hint="eastAsia"/>
          <w:kern w:val="0"/>
          <w:sz w:val="24"/>
        </w:rPr>
        <w:t>分，乙记为</w:t>
      </w:r>
      <w:r w:rsidRPr="003B4238">
        <w:rPr>
          <w:rFonts w:ascii="宋体" w:hAnsi="宋体" w:cs="宋体"/>
          <w:kern w:val="0"/>
          <w:sz w:val="24"/>
        </w:rPr>
        <w:t>6</w:t>
      </w:r>
      <w:r w:rsidRPr="003B4238">
        <w:rPr>
          <w:rFonts w:ascii="宋体" w:hAnsi="宋体" w:cs="宋体" w:hint="eastAsia"/>
          <w:kern w:val="0"/>
          <w:sz w:val="24"/>
        </w:rPr>
        <w:t>分，丙记为</w:t>
      </w:r>
      <w:r w:rsidRPr="003B4238">
        <w:rPr>
          <w:rFonts w:ascii="宋体" w:hAnsi="宋体" w:cs="宋体"/>
          <w:kern w:val="0"/>
          <w:sz w:val="24"/>
        </w:rPr>
        <w:t>5</w:t>
      </w:r>
      <w:r w:rsidRPr="003B4238">
        <w:rPr>
          <w:rFonts w:ascii="宋体" w:hAnsi="宋体" w:cs="宋体" w:hint="eastAsia"/>
          <w:kern w:val="0"/>
          <w:sz w:val="24"/>
        </w:rPr>
        <w:t>分。在第四学期结束前，学生提交</w:t>
      </w:r>
      <w:r w:rsidRPr="003B4238">
        <w:rPr>
          <w:rFonts w:ascii="宋体" w:hAnsi="宋体" w:cs="宋体"/>
          <w:kern w:val="0"/>
          <w:sz w:val="24"/>
        </w:rPr>
        <w:t>12</w:t>
      </w:r>
      <w:r w:rsidRPr="003B4238">
        <w:rPr>
          <w:rFonts w:ascii="宋体" w:hAnsi="宋体" w:cs="宋体" w:hint="eastAsia"/>
          <w:kern w:val="0"/>
          <w:sz w:val="24"/>
        </w:rPr>
        <w:t>份报告记录纸，按照导师评价的甲、乙、丙的次数折算成绩，不少于</w:t>
      </w:r>
      <w:r w:rsidRPr="003B4238">
        <w:rPr>
          <w:rFonts w:ascii="宋体" w:hAnsi="宋体" w:cs="宋体"/>
          <w:kern w:val="0"/>
          <w:sz w:val="24"/>
        </w:rPr>
        <w:t>60</w:t>
      </w:r>
      <w:r w:rsidRPr="003B4238">
        <w:rPr>
          <w:rFonts w:ascii="宋体" w:hAnsi="宋体" w:cs="宋体" w:hint="eastAsia"/>
          <w:kern w:val="0"/>
          <w:sz w:val="24"/>
        </w:rPr>
        <w:t>分者即可获得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学分。</w:t>
      </w:r>
    </w:p>
    <w:p w:rsidR="00E765C3" w:rsidRPr="003B4238" w:rsidRDefault="00E765C3" w:rsidP="00BB607F">
      <w:pPr>
        <w:spacing w:line="360" w:lineRule="auto"/>
        <w:ind w:firstLineChars="200" w:firstLine="31680"/>
        <w:outlineLvl w:val="0"/>
        <w:rPr>
          <w:rFonts w:ascii="宋体"/>
          <w:b/>
          <w:sz w:val="24"/>
        </w:rPr>
      </w:pPr>
      <w:r w:rsidRPr="003B4238">
        <w:rPr>
          <w:rFonts w:ascii="宋体" w:hAnsi="宋体"/>
          <w:b/>
          <w:sz w:val="24"/>
        </w:rPr>
        <w:t>2</w:t>
      </w:r>
      <w:r w:rsidRPr="003B4238">
        <w:rPr>
          <w:rFonts w:ascii="宋体" w:hAnsi="宋体" w:hint="eastAsia"/>
          <w:b/>
          <w:sz w:val="24"/>
        </w:rPr>
        <w:t>．学术报告交流（</w:t>
      </w:r>
      <w:r w:rsidRPr="003B4238">
        <w:rPr>
          <w:rFonts w:ascii="宋体" w:hAnsi="宋体"/>
          <w:b/>
          <w:sz w:val="24"/>
        </w:rPr>
        <w:t>1</w:t>
      </w:r>
      <w:r w:rsidRPr="003B4238">
        <w:rPr>
          <w:rFonts w:ascii="宋体" w:hAnsi="宋体" w:hint="eastAsia"/>
          <w:b/>
          <w:sz w:val="24"/>
        </w:rPr>
        <w:t>学分）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/>
          <w:sz w:val="24"/>
        </w:rPr>
      </w:pPr>
      <w:r w:rsidRPr="003B4238">
        <w:rPr>
          <w:rFonts w:ascii="宋体" w:hAnsi="宋体" w:cs="宋体" w:hint="eastAsia"/>
          <w:kern w:val="0"/>
          <w:sz w:val="24"/>
        </w:rPr>
        <w:t>学术报告交流以导师、导师组或者学科点为单位有计划地进行。要求研究生参加至少</w:t>
      </w:r>
      <w:r w:rsidRPr="003B4238">
        <w:rPr>
          <w:rFonts w:ascii="宋体" w:hAnsi="宋体" w:cs="宋体"/>
          <w:kern w:val="0"/>
          <w:sz w:val="24"/>
        </w:rPr>
        <w:t>12</w:t>
      </w:r>
      <w:r w:rsidRPr="003B4238">
        <w:rPr>
          <w:rFonts w:ascii="宋体" w:hAnsi="宋体" w:cs="宋体" w:hint="eastAsia"/>
          <w:kern w:val="0"/>
          <w:sz w:val="24"/>
        </w:rPr>
        <w:t>次，至少进行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次主题发言。研究生所做的学术交流内容只能使用一次，不允许在不同场次再次使用。每次的学术交流活动应有记录。在第五学期结束前，根据学术交流活动的记录，由学术交流的组织者评定研究生是否能够获得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学分。</w:t>
      </w:r>
    </w:p>
    <w:p w:rsidR="00E765C3" w:rsidRPr="003B4238" w:rsidRDefault="00E765C3">
      <w:pPr>
        <w:spacing w:line="360" w:lineRule="auto"/>
        <w:rPr>
          <w:rFonts w:ascii="宋体"/>
          <w:sz w:val="24"/>
        </w:rPr>
      </w:pP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</w:pPr>
      <w:r w:rsidRPr="003B4238">
        <w:rPr>
          <w:rFonts w:ascii="宋体" w:hAnsi="宋体" w:hint="eastAsia"/>
          <w:b/>
          <w:sz w:val="24"/>
        </w:rPr>
        <w:t>三、获得学位应发表的学术论文要求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 xml:space="preserve">1. </w:t>
      </w:r>
      <w:r w:rsidRPr="003B4238">
        <w:rPr>
          <w:rFonts w:ascii="宋体" w:hAnsi="宋体" w:cs="宋体" w:hint="eastAsia"/>
          <w:kern w:val="0"/>
          <w:sz w:val="24"/>
        </w:rPr>
        <w:t>硕士研究生申请答辩提交的学术研究论文、获奖成果、或国家专利，必须为本人在学期间，以西北农林科技大学葡萄酒学院为第一署名单位发表或者获得的，并且内容与申请者学位论文研究内容一致的相关成果。学术研究论文必须是本人为第一作者，导师为通讯作者的研究性论文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2.</w:t>
      </w:r>
      <w:r w:rsidRPr="003B4238">
        <w:rPr>
          <w:rFonts w:ascii="宋体" w:hAnsi="宋体" w:cs="宋体" w:hint="eastAsia"/>
          <w:kern w:val="0"/>
          <w:sz w:val="24"/>
        </w:rPr>
        <w:t>凡硕士研究生在学术期刊的增刊、副刊、专辑发表的学术研究论文均不列入此范围。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3.</w:t>
      </w:r>
      <w:r w:rsidRPr="003B4238">
        <w:rPr>
          <w:rFonts w:ascii="宋体" w:hAnsi="宋体" w:cs="宋体" w:hint="eastAsia"/>
          <w:kern w:val="0"/>
          <w:sz w:val="24"/>
        </w:rPr>
        <w:t>硕士研究生在申请学位论文答辩前，需满足下列条件之一：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）在国内核心期刊及以上学术刊物，或葡萄酒学院教授委员会认定的领域内权威学术期刊及学院出版《国际葡萄与葡萄酒学术研讨会论文集》上发表学术研究论文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篇；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2</w:t>
      </w:r>
      <w:r w:rsidRPr="003B4238">
        <w:rPr>
          <w:rFonts w:ascii="宋体" w:hAnsi="宋体" w:cs="宋体" w:hint="eastAsia"/>
          <w:kern w:val="0"/>
          <w:sz w:val="24"/>
        </w:rPr>
        <w:t>）获省部级科学技术奖（一等奖前八名、二等奖前六名、三等奖前四名）；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3</w:t>
      </w:r>
      <w:r w:rsidRPr="003B4238">
        <w:rPr>
          <w:rFonts w:ascii="宋体" w:hAnsi="宋体" w:cs="宋体" w:hint="eastAsia"/>
          <w:kern w:val="0"/>
          <w:sz w:val="24"/>
        </w:rPr>
        <w:t>）获国家发明专利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项（前三名）；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4</w:t>
      </w:r>
      <w:r w:rsidRPr="003B4238">
        <w:rPr>
          <w:rFonts w:ascii="宋体" w:hAnsi="宋体" w:cs="宋体" w:hint="eastAsia"/>
          <w:kern w:val="0"/>
          <w:sz w:val="24"/>
        </w:rPr>
        <w:t>）在同一导师指导下开展合作研究的硕士研究生，在</w:t>
      </w:r>
      <w:r w:rsidRPr="003B4238">
        <w:rPr>
          <w:rFonts w:ascii="宋体" w:hAnsi="宋体" w:cs="宋体"/>
          <w:kern w:val="0"/>
          <w:sz w:val="24"/>
        </w:rPr>
        <w:t>SCI\EI</w:t>
      </w:r>
      <w:r w:rsidRPr="003B4238">
        <w:rPr>
          <w:rFonts w:ascii="宋体" w:hAnsi="宋体" w:cs="宋体" w:hint="eastAsia"/>
          <w:kern w:val="0"/>
          <w:sz w:val="24"/>
        </w:rPr>
        <w:t>源学术期刊上公开发表学术研究论文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篇，且排序为前两位（或前三位，其导师须为前两位作者之一）。</w:t>
      </w: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</w:pPr>
      <w:bookmarkStart w:id="0" w:name="_GoBack"/>
      <w:bookmarkEnd w:id="0"/>
      <w:r w:rsidRPr="003B4238">
        <w:rPr>
          <w:rFonts w:ascii="宋体" w:hAnsi="宋体" w:hint="eastAsia"/>
          <w:b/>
          <w:sz w:val="24"/>
        </w:rPr>
        <w:t>四、本学科国内外主要参考文献和书目及考核办法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1.</w:t>
      </w:r>
      <w:r w:rsidRPr="003B4238">
        <w:rPr>
          <w:rFonts w:ascii="宋体" w:hAnsi="宋体" w:cs="宋体" w:hint="eastAsia"/>
          <w:kern w:val="0"/>
          <w:sz w:val="24"/>
        </w:rPr>
        <w:t>参考书目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 w:hint="eastAsia"/>
          <w:kern w:val="0"/>
          <w:sz w:val="24"/>
        </w:rPr>
        <w:t>参见附表</w:t>
      </w:r>
      <w:r w:rsidRPr="003B4238">
        <w:rPr>
          <w:rFonts w:ascii="宋体" w:hAnsi="宋体" w:cs="宋体"/>
          <w:kern w:val="0"/>
          <w:sz w:val="24"/>
        </w:rPr>
        <w:t>1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</w:rPr>
      </w:pPr>
      <w:r w:rsidRPr="003B4238">
        <w:rPr>
          <w:rFonts w:ascii="宋体" w:hAnsi="宋体" w:cs="宋体"/>
          <w:kern w:val="0"/>
          <w:sz w:val="24"/>
        </w:rPr>
        <w:t>2.</w:t>
      </w:r>
      <w:r w:rsidRPr="003B4238">
        <w:rPr>
          <w:rFonts w:ascii="宋体" w:hAnsi="宋体" w:cs="宋体" w:hint="eastAsia"/>
          <w:kern w:val="0"/>
          <w:sz w:val="24"/>
        </w:rPr>
        <w:t>考核办法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 w:cs="宋体"/>
          <w:kern w:val="0"/>
          <w:sz w:val="24"/>
          <w:szCs w:val="20"/>
        </w:rPr>
      </w:pPr>
      <w:r w:rsidRPr="003B4238">
        <w:rPr>
          <w:rFonts w:ascii="宋体" w:hAnsi="宋体" w:cs="宋体" w:hint="eastAsia"/>
          <w:kern w:val="0"/>
          <w:sz w:val="24"/>
        </w:rPr>
        <w:t>以导师、导师组或者学科点为单位，要求研究生参加提交读书报告</w:t>
      </w:r>
      <w:r w:rsidRPr="003B4238">
        <w:rPr>
          <w:rFonts w:ascii="宋体" w:hAnsi="宋体" w:cs="宋体"/>
          <w:kern w:val="0"/>
          <w:sz w:val="24"/>
        </w:rPr>
        <w:t>12</w:t>
      </w:r>
      <w:r w:rsidRPr="003B4238">
        <w:rPr>
          <w:rFonts w:ascii="宋体" w:hAnsi="宋体" w:cs="宋体" w:hint="eastAsia"/>
          <w:kern w:val="0"/>
          <w:sz w:val="24"/>
        </w:rPr>
        <w:t>篇。在第五学期结束前，根据读书报告打分纪录，由导师、导师组或者学科点评定研究生是否能够获得</w:t>
      </w:r>
      <w:r w:rsidRPr="003B4238">
        <w:rPr>
          <w:rFonts w:ascii="宋体" w:hAnsi="宋体" w:cs="宋体"/>
          <w:kern w:val="0"/>
          <w:sz w:val="24"/>
        </w:rPr>
        <w:t>1</w:t>
      </w:r>
      <w:r w:rsidRPr="003B4238">
        <w:rPr>
          <w:rFonts w:ascii="宋体" w:hAnsi="宋体" w:cs="宋体" w:hint="eastAsia"/>
          <w:kern w:val="0"/>
          <w:sz w:val="24"/>
        </w:rPr>
        <w:t>学分。</w:t>
      </w:r>
    </w:p>
    <w:p w:rsidR="00E765C3" w:rsidRPr="003B4238" w:rsidRDefault="00E765C3" w:rsidP="00BB607F">
      <w:pPr>
        <w:spacing w:line="360" w:lineRule="auto"/>
        <w:ind w:firstLineChars="200" w:firstLine="31680"/>
        <w:rPr>
          <w:rFonts w:ascii="宋体"/>
          <w:szCs w:val="21"/>
        </w:rPr>
      </w:pPr>
    </w:p>
    <w:p w:rsidR="00E765C3" w:rsidRPr="003B4238" w:rsidRDefault="00E765C3">
      <w:pPr>
        <w:numPr>
          <w:ilvl w:val="0"/>
          <w:numId w:val="1"/>
        </w:numPr>
        <w:spacing w:line="360" w:lineRule="auto"/>
        <w:rPr>
          <w:rFonts w:ascii="宋体"/>
          <w:b/>
          <w:sz w:val="24"/>
        </w:rPr>
      </w:pPr>
      <w:r w:rsidRPr="003B4238">
        <w:rPr>
          <w:rFonts w:ascii="宋体" w:hAnsi="宋体" w:hint="eastAsia"/>
          <w:b/>
          <w:sz w:val="24"/>
        </w:rPr>
        <w:t>本学科要求的其他环节及考核要求</w:t>
      </w: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</w:pPr>
      <w:r w:rsidRPr="003B4238">
        <w:rPr>
          <w:rFonts w:ascii="宋体" w:hAnsi="宋体" w:hint="eastAsia"/>
          <w:b/>
          <w:sz w:val="24"/>
        </w:rPr>
        <w:t>无</w:t>
      </w:r>
    </w:p>
    <w:p w:rsidR="00E765C3" w:rsidRPr="003B4238" w:rsidRDefault="00E765C3">
      <w:pPr>
        <w:spacing w:line="360" w:lineRule="auto"/>
        <w:rPr>
          <w:rFonts w:ascii="宋体"/>
          <w:b/>
          <w:sz w:val="24"/>
        </w:rPr>
        <w:sectPr w:rsidR="00E765C3" w:rsidRPr="003B4238">
          <w:footerReference w:type="even" r:id="rId7"/>
          <w:footerReference w:type="default" r:id="rId8"/>
          <w:pgSz w:w="11906" w:h="16838"/>
          <w:pgMar w:top="1440" w:right="1474" w:bottom="1440" w:left="1474" w:header="851" w:footer="992" w:gutter="0"/>
          <w:cols w:space="425"/>
          <w:docGrid w:type="lines" w:linePitch="312"/>
        </w:sectPr>
      </w:pPr>
    </w:p>
    <w:p w:rsidR="00E765C3" w:rsidRPr="003B4238" w:rsidRDefault="00E765C3">
      <w:pPr>
        <w:rPr>
          <w:b/>
          <w:bCs/>
          <w:sz w:val="28"/>
          <w:szCs w:val="36"/>
        </w:rPr>
      </w:pPr>
      <w:r w:rsidRPr="003B4238">
        <w:rPr>
          <w:b/>
          <w:bCs/>
          <w:sz w:val="28"/>
          <w:szCs w:val="36"/>
        </w:rPr>
        <w:t xml:space="preserve">           </w:t>
      </w:r>
    </w:p>
    <w:p w:rsidR="00E765C3" w:rsidRPr="003B4238" w:rsidRDefault="00E765C3">
      <w:pPr>
        <w:jc w:val="center"/>
        <w:rPr>
          <w:b/>
          <w:bCs/>
          <w:sz w:val="28"/>
          <w:szCs w:val="36"/>
        </w:rPr>
      </w:pPr>
      <w:r w:rsidRPr="003B4238">
        <w:rPr>
          <w:rFonts w:hint="eastAsia"/>
          <w:b/>
          <w:bCs/>
          <w:sz w:val="28"/>
          <w:szCs w:val="36"/>
        </w:rPr>
        <w:t>西北农林科技大学轻工技术与工程（发酵工程）学术型硕士研究生阅读书目</w:t>
      </w:r>
    </w:p>
    <w:tbl>
      <w:tblPr>
        <w:tblW w:w="1412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1"/>
        <w:gridCol w:w="3029"/>
        <w:gridCol w:w="5010"/>
        <w:gridCol w:w="2406"/>
        <w:gridCol w:w="1044"/>
        <w:gridCol w:w="2051"/>
      </w:tblGrid>
      <w:tr w:rsidR="00E765C3" w:rsidRPr="003B4238" w:rsidTr="003B4238">
        <w:trPr>
          <w:trHeight w:val="31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作者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书名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出版年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B4238">
              <w:rPr>
                <w:rFonts w:ascii="宋体" w:hAnsi="宋体" w:cs="宋体" w:hint="eastAsia"/>
                <w:kern w:val="0"/>
                <w:szCs w:val="21"/>
              </w:rPr>
              <w:t>书号</w:t>
            </w:r>
          </w:p>
        </w:tc>
      </w:tr>
      <w:tr w:rsidR="00E765C3" w:rsidRPr="003B4238" w:rsidTr="003B4238">
        <w:trPr>
          <w:trHeight w:val="69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Markus Keller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The Science of Grapevines: Anatomy and Physiology.2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Academic Press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2015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978-0123748812</w:t>
            </w:r>
          </w:p>
        </w:tc>
      </w:tr>
      <w:tr w:rsidR="00E765C3" w:rsidRPr="003B4238" w:rsidTr="003B4238">
        <w:trPr>
          <w:trHeight w:val="78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Reynolds, Andrew G.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Grapevine Breeding Programs for the Wine Industry : Traditional and Molecular Techniques. 1</w:t>
            </w:r>
            <w:r w:rsidRPr="003B4238">
              <w:rPr>
                <w:kern w:val="0"/>
                <w:szCs w:val="21"/>
                <w:vertAlign w:val="superscript"/>
              </w:rPr>
              <w:t>st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Woodhead Publishing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2014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978-1-78242-075-0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E. Or (auth.), Prof.Dr. Kalliopi A. Roubelakis-Angelakis (eds.)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Grapevine Molecular Physiology &amp; Biotechnology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Springer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978-9048123049</w:t>
            </w:r>
          </w:p>
        </w:tc>
      </w:tr>
      <w:tr w:rsidR="00E765C3" w:rsidRPr="003B4238" w:rsidTr="003B4238">
        <w:trPr>
          <w:trHeight w:val="847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Percy H. Dougherty Ph.D. (auth.), Percy H. Dougherty (eds.)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The Geography of Wine: Regions, Terroir and Techniques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 xml:space="preserve">Springer </w:t>
            </w:r>
            <w:smartTag w:uri="urn:schemas-microsoft-com:office:smarttags" w:element="country-region">
              <w:smartTag w:uri="urn:schemas-microsoft-com:office:smarttags" w:element="place">
                <w:r w:rsidRPr="003B4238">
                  <w:rPr>
                    <w:kern w:val="0"/>
                    <w:szCs w:val="21"/>
                  </w:rPr>
                  <w:t>Netherlands</w:t>
                </w:r>
              </w:smartTag>
            </w:smartTag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2012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978-94-007-0463-3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 xml:space="preserve">Roger B. Boulton, </w:t>
            </w:r>
            <w:smartTag w:uri="urn:schemas-microsoft-com:office:smarttags" w:element="City">
              <w:smartTag w:uri="urn:schemas-microsoft-com:office:smarttags" w:element="place">
                <w:r w:rsidRPr="003B4238">
                  <w:rPr>
                    <w:kern w:val="0"/>
                    <w:szCs w:val="21"/>
                  </w:rPr>
                  <w:t>Vernon</w:t>
                </w:r>
              </w:smartTag>
            </w:smartTag>
            <w:r w:rsidRPr="003B4238">
              <w:rPr>
                <w:kern w:val="0"/>
                <w:szCs w:val="21"/>
              </w:rPr>
              <w:t xml:space="preserve"> L. Singleton, Linda F. Bisson , Ralph E. Kunkee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Principles and Practices of Winemaking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Springer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1999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978-1-4757-6255-8</w:t>
            </w: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Ronald S Jackson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 Science: Principles and Applications. 4</w:t>
            </w:r>
            <w:r w:rsidRPr="003B4238">
              <w:rPr>
                <w:kern w:val="0"/>
                <w:szCs w:val="21"/>
                <w:vertAlign w:val="superscript"/>
              </w:rPr>
              <w:t>th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Academic Press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2014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978-0-12-381468-5</w:t>
            </w: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Jokie Bakker, Ronald J. Clarke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Wine: Flavour Chemistry, 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Wiley-Blackwell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2011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978-1-4443-3042-7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Alfonso V. Carrascosa Santiago, Rosario Munoz, Ramon Gonzalez Garcia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Molecular Wine Microbiology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Academic Press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2011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978-0-12-375021-1</w:t>
            </w:r>
          </w:p>
        </w:tc>
      </w:tr>
      <w:tr w:rsidR="00E765C3" w:rsidRPr="003B4238" w:rsidTr="003B4238">
        <w:trPr>
          <w:trHeight w:val="31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Flamini R., Traldi P.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Mass Spectrometry in Grape and Wine Chemistry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Wiley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2010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978-0470392478</w:t>
            </w:r>
          </w:p>
        </w:tc>
      </w:tr>
      <w:tr w:rsidR="00E765C3" w:rsidRPr="003B4238" w:rsidTr="003B4238">
        <w:trPr>
          <w:trHeight w:val="126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Fernando Zamora (auth.), M. Victoria Moreno-Arribas, M. Carmen Polo (eds.)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 Chemistry and Biochemistry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Springer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978-1441925480</w:t>
            </w:r>
          </w:p>
        </w:tc>
      </w:tr>
      <w:tr w:rsidR="00E765C3" w:rsidRPr="003B4238" w:rsidTr="003B4238">
        <w:trPr>
          <w:trHeight w:val="37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Ronald S. Jackson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 Tasting - A Professional Handbook. 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Academic Press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978-0-12-374181-3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Kenneth C. Fugelsang, Charles G. Edwards (eds.)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 Microbiology: Practical Applications and Procedures. 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Springer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2006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978-0387333410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P. Ribéreau-Gayon, D. Dubourdieu, B. Doneche, A. Lonvaud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Handbook of Enology, Volume 1: The Microbiology of Wine and Vinifications. 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Wiley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2006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978-0470010341</w:t>
            </w:r>
          </w:p>
        </w:tc>
      </w:tr>
      <w:tr w:rsidR="00E765C3" w:rsidRPr="003B4238" w:rsidTr="003B4238">
        <w:trPr>
          <w:trHeight w:val="94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Pascal Ribéreau-Gayon, Y. Glories, A. Maujean, Denis Dubourdieu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Handbook of Enology, Volume 2: The Chemistry of Wine: Stabilization and Treatments. 2</w:t>
            </w:r>
            <w:r w:rsidRPr="003B4238">
              <w:rPr>
                <w:kern w:val="0"/>
                <w:szCs w:val="21"/>
                <w:vertAlign w:val="superscript"/>
              </w:rPr>
              <w:t>nd</w:t>
            </w:r>
            <w:r w:rsidRPr="003B4238">
              <w:rPr>
                <w:kern w:val="0"/>
                <w:szCs w:val="21"/>
              </w:rPr>
              <w:t xml:space="preserve"> ed.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Wiley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2006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978-0470010372</w:t>
            </w:r>
          </w:p>
        </w:tc>
      </w:tr>
      <w:tr w:rsidR="00E765C3" w:rsidRPr="003B4238" w:rsidTr="003B4238">
        <w:trPr>
          <w:trHeight w:val="315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Jean L. Jacobson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Introduction to Wine Laboratory Practices and Procedures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Springer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2005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978-0-387-24377-1</w:t>
            </w: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Geralyn G. Brostrom, Jack Brostrom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The Business of Wine An Encyclopedia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ity">
              <w:smartTag w:uri="urn:schemas-microsoft-com:office:smarttags" w:element="place">
                <w:r w:rsidRPr="003B4238">
                  <w:rPr>
                    <w:kern w:val="0"/>
                    <w:szCs w:val="21"/>
                  </w:rPr>
                  <w:t>Greenwood</w:t>
                </w:r>
              </w:smartTag>
            </w:smartTag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2008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978-0313354007</w:t>
            </w: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C. Michael Hall, Richard Mitchell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Wine Marketing: A Practical Guide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Butterworth-Heinemann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2007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978-0750654203</w:t>
            </w: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李华，王华，袁春龙，王树生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现代葡萄酒工艺学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西安：陕西人民出版社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2007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488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葡萄酒品尝学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北京：中国青年出版社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2006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葡萄酒酿造与质量控制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杨凌：天则出版社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1990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高树贤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葡萄酒工程学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西安：陕西人民出版社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1998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王华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葡萄与葡萄酒实验技术操作规范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西安：西安地图出版社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1999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李华，侯军歧，李甲贵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葡萄酒市场学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西安：陕西人民出版社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1999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李华，刘延琳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葡萄酒卫生学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西安：西安地图出版社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2000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张振文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葡萄品种学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西安：西安地图出版社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2000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葡萄集约化栽培手册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西安：西安地图出版社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2001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李华，王华，袁春龙，王树生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葡萄酒化学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北京：科学出版社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2005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葡萄病虫害的合理防治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西安：陕西人民出版社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2003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张春晖，李华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酿酒微生物学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西安：陕西人民出版社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2003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李华，王华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中国葡萄酒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杨凌：西北农林科技大学出版社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2010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杨和财，王华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葡萄酒果酒法规与市场监管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杨凌：西北农林科技大学出版社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765C3" w:rsidRPr="003B4238" w:rsidTr="003B4238">
        <w:trPr>
          <w:trHeight w:val="630"/>
        </w:trPr>
        <w:tc>
          <w:tcPr>
            <w:tcW w:w="581" w:type="dxa"/>
            <w:vAlign w:val="center"/>
          </w:tcPr>
          <w:p w:rsidR="00E765C3" w:rsidRPr="003B4238" w:rsidRDefault="00E765C3">
            <w:pPr>
              <w:widowControl/>
              <w:numPr>
                <w:ilvl w:val="0"/>
                <w:numId w:val="2"/>
              </w:numPr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029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李华</w:t>
            </w:r>
          </w:p>
        </w:tc>
        <w:tc>
          <w:tcPr>
            <w:tcW w:w="5010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葡萄栽培学</w:t>
            </w:r>
          </w:p>
        </w:tc>
        <w:tc>
          <w:tcPr>
            <w:tcW w:w="2406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rFonts w:hint="eastAsia"/>
                <w:kern w:val="0"/>
                <w:szCs w:val="21"/>
              </w:rPr>
              <w:t>北京：中国农业出版社</w:t>
            </w:r>
          </w:p>
        </w:tc>
        <w:tc>
          <w:tcPr>
            <w:tcW w:w="1044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  <w:r w:rsidRPr="003B4238">
              <w:rPr>
                <w:kern w:val="0"/>
                <w:szCs w:val="21"/>
              </w:rPr>
              <w:t>2008</w:t>
            </w:r>
          </w:p>
        </w:tc>
        <w:tc>
          <w:tcPr>
            <w:tcW w:w="2051" w:type="dxa"/>
            <w:vAlign w:val="center"/>
          </w:tcPr>
          <w:p w:rsidR="00E765C3" w:rsidRPr="003B4238" w:rsidRDefault="00E765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E765C3" w:rsidRPr="003B4238" w:rsidRDefault="00E765C3">
      <w:pPr>
        <w:rPr>
          <w:rFonts w:ascii="宋体"/>
          <w:b/>
          <w:sz w:val="24"/>
        </w:rPr>
      </w:pPr>
    </w:p>
    <w:sectPr w:rsidR="00E765C3" w:rsidRPr="003B4238" w:rsidSect="00D21279">
      <w:pgSz w:w="16838" w:h="11906" w:orient="landscape"/>
      <w:pgMar w:top="1474" w:right="1440" w:bottom="1474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5C3" w:rsidRDefault="00E765C3">
      <w:r>
        <w:separator/>
      </w:r>
    </w:p>
  </w:endnote>
  <w:endnote w:type="continuationSeparator" w:id="1">
    <w:p w:rsidR="00E765C3" w:rsidRDefault="00E7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C3" w:rsidRDefault="00E765C3" w:rsidP="00AA0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5C3" w:rsidRDefault="00E765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C3" w:rsidRDefault="00E765C3" w:rsidP="00AA0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765C3" w:rsidRDefault="00E76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5C3" w:rsidRDefault="00E765C3">
      <w:r>
        <w:separator/>
      </w:r>
    </w:p>
  </w:footnote>
  <w:footnote w:type="continuationSeparator" w:id="1">
    <w:p w:rsidR="00E765C3" w:rsidRDefault="00E76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446D"/>
    <w:multiLevelType w:val="singleLevel"/>
    <w:tmpl w:val="5568446D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5692B8A"/>
    <w:multiLevelType w:val="singleLevel"/>
    <w:tmpl w:val="55692B8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86E"/>
    <w:rsid w:val="000057C5"/>
    <w:rsid w:val="000129C6"/>
    <w:rsid w:val="00020594"/>
    <w:rsid w:val="00045CAC"/>
    <w:rsid w:val="00073363"/>
    <w:rsid w:val="0008737D"/>
    <w:rsid w:val="000913EB"/>
    <w:rsid w:val="000B6F02"/>
    <w:rsid w:val="000D4806"/>
    <w:rsid w:val="000E5D04"/>
    <w:rsid w:val="000F1271"/>
    <w:rsid w:val="0010110E"/>
    <w:rsid w:val="0012279A"/>
    <w:rsid w:val="00124A5E"/>
    <w:rsid w:val="00184181"/>
    <w:rsid w:val="00185FE2"/>
    <w:rsid w:val="00197441"/>
    <w:rsid w:val="001E35DC"/>
    <w:rsid w:val="00203B87"/>
    <w:rsid w:val="002136D5"/>
    <w:rsid w:val="00226EED"/>
    <w:rsid w:val="002629CC"/>
    <w:rsid w:val="00283788"/>
    <w:rsid w:val="002A7CD9"/>
    <w:rsid w:val="002B4FB5"/>
    <w:rsid w:val="002C6E5B"/>
    <w:rsid w:val="003049E7"/>
    <w:rsid w:val="003420A7"/>
    <w:rsid w:val="00345956"/>
    <w:rsid w:val="00353B8E"/>
    <w:rsid w:val="00361BE1"/>
    <w:rsid w:val="00363A96"/>
    <w:rsid w:val="0036649E"/>
    <w:rsid w:val="00366894"/>
    <w:rsid w:val="00377A94"/>
    <w:rsid w:val="003A3653"/>
    <w:rsid w:val="003B4238"/>
    <w:rsid w:val="003D1571"/>
    <w:rsid w:val="003D453F"/>
    <w:rsid w:val="003F0E50"/>
    <w:rsid w:val="00402BA9"/>
    <w:rsid w:val="00415CD5"/>
    <w:rsid w:val="00433778"/>
    <w:rsid w:val="00434202"/>
    <w:rsid w:val="00435F66"/>
    <w:rsid w:val="0043622B"/>
    <w:rsid w:val="00467BC5"/>
    <w:rsid w:val="00481601"/>
    <w:rsid w:val="00483401"/>
    <w:rsid w:val="004D52A1"/>
    <w:rsid w:val="004E3275"/>
    <w:rsid w:val="004E6E60"/>
    <w:rsid w:val="005620DA"/>
    <w:rsid w:val="005925FF"/>
    <w:rsid w:val="005A427C"/>
    <w:rsid w:val="005A4AB8"/>
    <w:rsid w:val="005C52D2"/>
    <w:rsid w:val="005E229D"/>
    <w:rsid w:val="00601635"/>
    <w:rsid w:val="0061786E"/>
    <w:rsid w:val="006345EA"/>
    <w:rsid w:val="006350D5"/>
    <w:rsid w:val="00640EB7"/>
    <w:rsid w:val="0065100E"/>
    <w:rsid w:val="00667F9F"/>
    <w:rsid w:val="00690AD6"/>
    <w:rsid w:val="006A7215"/>
    <w:rsid w:val="006B01F9"/>
    <w:rsid w:val="006B73AF"/>
    <w:rsid w:val="006D3A8B"/>
    <w:rsid w:val="00720901"/>
    <w:rsid w:val="007413FA"/>
    <w:rsid w:val="00793279"/>
    <w:rsid w:val="007D1179"/>
    <w:rsid w:val="007F5D1A"/>
    <w:rsid w:val="007F65BE"/>
    <w:rsid w:val="0081061C"/>
    <w:rsid w:val="00820E77"/>
    <w:rsid w:val="0082607A"/>
    <w:rsid w:val="00837664"/>
    <w:rsid w:val="008629E0"/>
    <w:rsid w:val="00865C1C"/>
    <w:rsid w:val="00872BCD"/>
    <w:rsid w:val="00881175"/>
    <w:rsid w:val="008A3422"/>
    <w:rsid w:val="008A553F"/>
    <w:rsid w:val="008C238A"/>
    <w:rsid w:val="008C2480"/>
    <w:rsid w:val="008E0681"/>
    <w:rsid w:val="008E139E"/>
    <w:rsid w:val="008F334A"/>
    <w:rsid w:val="00900809"/>
    <w:rsid w:val="00903DFB"/>
    <w:rsid w:val="00932FEA"/>
    <w:rsid w:val="009873DB"/>
    <w:rsid w:val="009B1572"/>
    <w:rsid w:val="009C6683"/>
    <w:rsid w:val="009D05A5"/>
    <w:rsid w:val="00A068BB"/>
    <w:rsid w:val="00A52DCE"/>
    <w:rsid w:val="00A95076"/>
    <w:rsid w:val="00AA0277"/>
    <w:rsid w:val="00AB146E"/>
    <w:rsid w:val="00AF7511"/>
    <w:rsid w:val="00B105A5"/>
    <w:rsid w:val="00B10689"/>
    <w:rsid w:val="00B16A74"/>
    <w:rsid w:val="00B25ACE"/>
    <w:rsid w:val="00B274E1"/>
    <w:rsid w:val="00B35A12"/>
    <w:rsid w:val="00B91CEF"/>
    <w:rsid w:val="00BB607F"/>
    <w:rsid w:val="00BB6C60"/>
    <w:rsid w:val="00BC4006"/>
    <w:rsid w:val="00BD1DA2"/>
    <w:rsid w:val="00BD4A87"/>
    <w:rsid w:val="00BF2DEC"/>
    <w:rsid w:val="00BF410A"/>
    <w:rsid w:val="00C00E5E"/>
    <w:rsid w:val="00C0294C"/>
    <w:rsid w:val="00C243D5"/>
    <w:rsid w:val="00C31B37"/>
    <w:rsid w:val="00C37245"/>
    <w:rsid w:val="00C67438"/>
    <w:rsid w:val="00C84684"/>
    <w:rsid w:val="00C92A53"/>
    <w:rsid w:val="00CB766A"/>
    <w:rsid w:val="00CD0718"/>
    <w:rsid w:val="00CF1556"/>
    <w:rsid w:val="00CF1808"/>
    <w:rsid w:val="00D12A37"/>
    <w:rsid w:val="00D21279"/>
    <w:rsid w:val="00D250A1"/>
    <w:rsid w:val="00D6335F"/>
    <w:rsid w:val="00D70A17"/>
    <w:rsid w:val="00DB0FAA"/>
    <w:rsid w:val="00DD3AE1"/>
    <w:rsid w:val="00DE27BB"/>
    <w:rsid w:val="00DF1604"/>
    <w:rsid w:val="00E07355"/>
    <w:rsid w:val="00E1737D"/>
    <w:rsid w:val="00E441A7"/>
    <w:rsid w:val="00E5439C"/>
    <w:rsid w:val="00E63A19"/>
    <w:rsid w:val="00E70108"/>
    <w:rsid w:val="00E7300D"/>
    <w:rsid w:val="00E765C3"/>
    <w:rsid w:val="00E81EDF"/>
    <w:rsid w:val="00E97BC5"/>
    <w:rsid w:val="00EC15D3"/>
    <w:rsid w:val="00EC726A"/>
    <w:rsid w:val="00F03329"/>
    <w:rsid w:val="00F4379B"/>
    <w:rsid w:val="00F8772B"/>
    <w:rsid w:val="00F95617"/>
    <w:rsid w:val="00FE3DCF"/>
    <w:rsid w:val="00FE47FE"/>
    <w:rsid w:val="23B24825"/>
    <w:rsid w:val="42B94406"/>
    <w:rsid w:val="4F912E1A"/>
    <w:rsid w:val="75B9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21279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12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279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D2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27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2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279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D21279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3B42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625</Words>
  <Characters>3563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古巧珍</dc:creator>
  <cp:keywords/>
  <dc:description/>
  <cp:lastModifiedBy>张艳芳</cp:lastModifiedBy>
  <cp:revision>3</cp:revision>
  <cp:lastPrinted>2015-07-06T07:55:00Z</cp:lastPrinted>
  <dcterms:created xsi:type="dcterms:W3CDTF">2015-05-26T01:45:00Z</dcterms:created>
  <dcterms:modified xsi:type="dcterms:W3CDTF">2015-07-06T07:55:00Z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