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58" w:rsidRPr="006E5230" w:rsidRDefault="00BC7558" w:rsidP="00BC7558">
      <w:pPr>
        <w:spacing w:before="382"/>
        <w:ind w:firstLineChars="200" w:firstLine="562"/>
        <w:jc w:val="center"/>
        <w:outlineLvl w:val="0"/>
        <w:rPr>
          <w:rFonts w:asciiTheme="minorEastAsia" w:eastAsiaTheme="minorEastAsia" w:hAnsiTheme="minorEastAsia" w:cs="宋体"/>
          <w:b/>
          <w:kern w:val="36"/>
          <w:sz w:val="28"/>
          <w:szCs w:val="28"/>
        </w:rPr>
      </w:pPr>
      <w:r w:rsidRPr="006E5230">
        <w:rPr>
          <w:rFonts w:asciiTheme="minorEastAsia" w:eastAsiaTheme="minorEastAsia" w:hAnsiTheme="minorEastAsia" w:cs="宋体" w:hint="eastAsia"/>
          <w:b/>
          <w:kern w:val="36"/>
          <w:sz w:val="28"/>
          <w:szCs w:val="28"/>
        </w:rPr>
        <w:t>结题项目评审结果</w:t>
      </w:r>
    </w:p>
    <w:tbl>
      <w:tblPr>
        <w:tblW w:w="10160" w:type="dxa"/>
        <w:tblInd w:w="96" w:type="dxa"/>
        <w:tblLook w:val="04A0" w:firstRow="1" w:lastRow="0" w:firstColumn="1" w:lastColumn="0" w:noHBand="0" w:noVBand="1"/>
      </w:tblPr>
      <w:tblGrid>
        <w:gridCol w:w="700"/>
        <w:gridCol w:w="3707"/>
        <w:gridCol w:w="850"/>
        <w:gridCol w:w="992"/>
        <w:gridCol w:w="1276"/>
        <w:gridCol w:w="992"/>
        <w:gridCol w:w="1276"/>
        <w:gridCol w:w="367"/>
      </w:tblGrid>
      <w:tr w:rsidR="00BC7558" w:rsidRPr="006E5230" w:rsidTr="00500007">
        <w:trPr>
          <w:trHeight w:val="849"/>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bCs/>
                <w:sz w:val="24"/>
                <w:szCs w:val="24"/>
              </w:rPr>
            </w:pPr>
            <w:r w:rsidRPr="00794C67">
              <w:rPr>
                <w:rFonts w:ascii="宋体" w:eastAsia="宋体" w:hAnsi="宋体" w:cs="宋体" w:hint="eastAsia"/>
                <w:bCs/>
                <w:sz w:val="24"/>
                <w:szCs w:val="24"/>
              </w:rPr>
              <w:t>序号</w:t>
            </w:r>
          </w:p>
        </w:tc>
        <w:tc>
          <w:tcPr>
            <w:tcW w:w="3707"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bCs/>
                <w:sz w:val="24"/>
                <w:szCs w:val="24"/>
              </w:rPr>
            </w:pPr>
            <w:r w:rsidRPr="00794C67">
              <w:rPr>
                <w:rFonts w:ascii="宋体" w:eastAsia="宋体" w:hAnsi="宋体" w:cs="宋体" w:hint="eastAsia"/>
                <w:bCs/>
                <w:sz w:val="24"/>
                <w:szCs w:val="24"/>
              </w:rPr>
              <w:t>项目名称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bCs/>
                <w:sz w:val="24"/>
                <w:szCs w:val="24"/>
              </w:rPr>
            </w:pPr>
            <w:r w:rsidRPr="00794C67">
              <w:rPr>
                <w:rFonts w:ascii="宋体" w:eastAsia="宋体" w:hAnsi="宋体" w:cs="宋体" w:hint="eastAsia"/>
                <w:bCs/>
                <w:sz w:val="24"/>
                <w:szCs w:val="24"/>
              </w:rPr>
              <w:t xml:space="preserve">项目级别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bCs/>
                <w:sz w:val="24"/>
                <w:szCs w:val="24"/>
              </w:rPr>
            </w:pPr>
            <w:r w:rsidRPr="00794C67">
              <w:rPr>
                <w:rFonts w:ascii="宋体" w:eastAsia="宋体" w:hAnsi="宋体" w:cs="宋体" w:hint="eastAsia"/>
                <w:bCs/>
                <w:sz w:val="24"/>
                <w:szCs w:val="24"/>
              </w:rPr>
              <w:t xml:space="preserve">项目类型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bCs/>
                <w:sz w:val="24"/>
                <w:szCs w:val="24"/>
              </w:rPr>
            </w:pPr>
            <w:r w:rsidRPr="00794C67">
              <w:rPr>
                <w:rFonts w:ascii="宋体" w:eastAsia="宋体" w:hAnsi="宋体" w:cs="宋体" w:hint="eastAsia"/>
                <w:bCs/>
                <w:sz w:val="24"/>
                <w:szCs w:val="24"/>
              </w:rPr>
              <w:t>项目负责人姓名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bCs/>
                <w:sz w:val="24"/>
                <w:szCs w:val="24"/>
              </w:rPr>
            </w:pPr>
            <w:r w:rsidRPr="00794C67">
              <w:rPr>
                <w:rFonts w:ascii="宋体" w:eastAsia="宋体" w:hAnsi="宋体" w:cs="宋体" w:hint="eastAsia"/>
                <w:bCs/>
                <w:sz w:val="24"/>
                <w:szCs w:val="24"/>
              </w:rPr>
              <w:t>指导教师姓名</w:t>
            </w:r>
          </w:p>
        </w:tc>
        <w:tc>
          <w:tcPr>
            <w:tcW w:w="1276" w:type="dxa"/>
            <w:tcBorders>
              <w:top w:val="single" w:sz="4" w:space="0" w:color="auto"/>
              <w:left w:val="nil"/>
              <w:bottom w:val="single" w:sz="4" w:space="0" w:color="auto"/>
              <w:right w:val="single" w:sz="4" w:space="0" w:color="auto"/>
            </w:tcBorders>
            <w:vAlign w:val="center"/>
          </w:tcPr>
          <w:p w:rsidR="00BC7558" w:rsidRPr="006E5230" w:rsidRDefault="00BC7558" w:rsidP="00500007">
            <w:pPr>
              <w:spacing w:after="0" w:line="340" w:lineRule="exact"/>
              <w:jc w:val="both"/>
              <w:rPr>
                <w:rFonts w:ascii="宋体" w:eastAsia="宋体" w:hAnsi="宋体" w:cs="宋体"/>
                <w:bCs/>
                <w:sz w:val="24"/>
                <w:szCs w:val="24"/>
              </w:rPr>
            </w:pPr>
            <w:r w:rsidRPr="006E5230">
              <w:rPr>
                <w:rFonts w:ascii="宋体" w:eastAsia="宋体" w:hAnsi="宋体" w:cs="宋体" w:hint="eastAsia"/>
                <w:bCs/>
                <w:sz w:val="24"/>
                <w:szCs w:val="24"/>
              </w:rPr>
              <w:t>评审结果</w:t>
            </w:r>
          </w:p>
        </w:tc>
        <w:tc>
          <w:tcPr>
            <w:tcW w:w="367" w:type="dxa"/>
            <w:tcBorders>
              <w:top w:val="nil"/>
              <w:left w:val="single" w:sz="4" w:space="0" w:color="auto"/>
              <w:bottom w:val="nil"/>
              <w:right w:val="nil"/>
            </w:tcBorders>
            <w:shd w:val="clear" w:color="auto" w:fill="auto"/>
            <w:noWrap/>
            <w:vAlign w:val="center"/>
            <w:hideMark/>
          </w:tcPr>
          <w:p w:rsidR="00BC7558" w:rsidRPr="00794C67" w:rsidRDefault="00BC7558" w:rsidP="00500007">
            <w:pPr>
              <w:spacing w:after="0" w:line="340" w:lineRule="exact"/>
              <w:jc w:val="both"/>
              <w:rPr>
                <w:rFonts w:ascii="宋体" w:eastAsia="宋体" w:hAnsi="宋体" w:cs="宋体"/>
                <w:bCs/>
                <w:sz w:val="24"/>
                <w:szCs w:val="24"/>
              </w:rPr>
            </w:pPr>
          </w:p>
        </w:tc>
      </w:tr>
      <w:tr w:rsidR="00BC7558" w:rsidRPr="006E5230" w:rsidTr="00500007">
        <w:trPr>
          <w:trHeight w:val="752"/>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1</w:t>
            </w:r>
          </w:p>
        </w:tc>
        <w:tc>
          <w:tcPr>
            <w:tcW w:w="3707"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生物质</w:t>
            </w:r>
            <w:proofErr w:type="gramStart"/>
            <w:r w:rsidRPr="00794C67">
              <w:rPr>
                <w:rFonts w:ascii="宋体" w:eastAsia="宋体" w:hAnsi="宋体" w:cs="宋体" w:hint="eastAsia"/>
                <w:sz w:val="24"/>
                <w:szCs w:val="24"/>
              </w:rPr>
              <w:t>炭</w:t>
            </w:r>
            <w:proofErr w:type="gramEnd"/>
            <w:r w:rsidRPr="00794C67">
              <w:rPr>
                <w:rFonts w:ascii="宋体" w:eastAsia="宋体" w:hAnsi="宋体" w:cs="宋体" w:hint="eastAsia"/>
                <w:sz w:val="24"/>
                <w:szCs w:val="24"/>
              </w:rPr>
              <w:t>复合肥缓解葡萄植株干旱胁迫的效应研究</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proofErr w:type="gramStart"/>
            <w:r w:rsidRPr="00794C67">
              <w:rPr>
                <w:rFonts w:ascii="宋体" w:eastAsia="宋体" w:hAnsi="宋体" w:cs="宋体" w:hint="eastAsia"/>
                <w:sz w:val="24"/>
                <w:szCs w:val="24"/>
              </w:rPr>
              <w:t>校重点</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创新训练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王文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刘旭</w:t>
            </w:r>
          </w:p>
        </w:tc>
        <w:tc>
          <w:tcPr>
            <w:tcW w:w="1276" w:type="dxa"/>
            <w:tcBorders>
              <w:top w:val="single" w:sz="4" w:space="0" w:color="auto"/>
              <w:left w:val="nil"/>
              <w:bottom w:val="single" w:sz="4" w:space="0" w:color="auto"/>
              <w:right w:val="single" w:sz="4" w:space="0" w:color="auto"/>
            </w:tcBorders>
            <w:vAlign w:val="center"/>
          </w:tcPr>
          <w:p w:rsidR="00BC7558" w:rsidRPr="006E5230" w:rsidRDefault="00BC7558" w:rsidP="00500007">
            <w:pPr>
              <w:spacing w:after="0" w:line="340" w:lineRule="exact"/>
              <w:jc w:val="both"/>
              <w:rPr>
                <w:rFonts w:ascii="宋体" w:eastAsia="宋体" w:hAnsi="宋体" w:cs="宋体"/>
                <w:sz w:val="24"/>
                <w:szCs w:val="24"/>
              </w:rPr>
            </w:pPr>
            <w:r w:rsidRPr="006E5230">
              <w:rPr>
                <w:rFonts w:ascii="宋体" w:eastAsia="宋体" w:hAnsi="宋体" w:cs="宋体" w:hint="eastAsia"/>
                <w:sz w:val="24"/>
                <w:szCs w:val="24"/>
              </w:rPr>
              <w:t>合格</w:t>
            </w:r>
          </w:p>
        </w:tc>
        <w:tc>
          <w:tcPr>
            <w:tcW w:w="367" w:type="dxa"/>
            <w:tcBorders>
              <w:top w:val="nil"/>
              <w:left w:val="single" w:sz="4" w:space="0" w:color="auto"/>
              <w:bottom w:val="nil"/>
              <w:right w:val="nil"/>
            </w:tcBorders>
            <w:shd w:val="clear" w:color="auto" w:fill="auto"/>
            <w:noWrap/>
            <w:vAlign w:val="center"/>
            <w:hideMark/>
          </w:tcPr>
          <w:p w:rsidR="00BC7558" w:rsidRPr="00794C67" w:rsidRDefault="00BC7558" w:rsidP="00500007">
            <w:pPr>
              <w:spacing w:after="0" w:line="340" w:lineRule="exact"/>
              <w:jc w:val="both"/>
              <w:rPr>
                <w:rFonts w:ascii="宋体" w:eastAsia="宋体" w:hAnsi="宋体" w:cs="宋体"/>
                <w:sz w:val="24"/>
                <w:szCs w:val="24"/>
              </w:rPr>
            </w:pPr>
          </w:p>
        </w:tc>
      </w:tr>
      <w:tr w:rsidR="00BC7558" w:rsidRPr="006E5230" w:rsidTr="00500007">
        <w:trPr>
          <w:trHeight w:val="118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2</w:t>
            </w:r>
          </w:p>
        </w:tc>
        <w:tc>
          <w:tcPr>
            <w:tcW w:w="3707"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中国葡萄酒庄数据库建设（China Wine Chateau Database Construction）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省级</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创新训练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范舒悦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王亚宾</w:t>
            </w:r>
          </w:p>
        </w:tc>
        <w:tc>
          <w:tcPr>
            <w:tcW w:w="1276" w:type="dxa"/>
            <w:tcBorders>
              <w:top w:val="single" w:sz="4" w:space="0" w:color="auto"/>
              <w:left w:val="nil"/>
              <w:bottom w:val="single" w:sz="4" w:space="0" w:color="auto"/>
              <w:right w:val="single" w:sz="4" w:space="0" w:color="auto"/>
            </w:tcBorders>
            <w:vAlign w:val="center"/>
          </w:tcPr>
          <w:p w:rsidR="00BC7558" w:rsidRPr="006E5230" w:rsidRDefault="00BC7558" w:rsidP="00500007">
            <w:pPr>
              <w:spacing w:after="0" w:line="340" w:lineRule="exact"/>
              <w:jc w:val="both"/>
              <w:rPr>
                <w:rFonts w:ascii="宋体" w:eastAsia="宋体" w:hAnsi="宋体" w:cs="宋体"/>
                <w:sz w:val="24"/>
                <w:szCs w:val="24"/>
              </w:rPr>
            </w:pPr>
            <w:r w:rsidRPr="006E5230">
              <w:rPr>
                <w:rFonts w:ascii="宋体" w:eastAsia="宋体" w:hAnsi="宋体" w:cs="宋体" w:hint="eastAsia"/>
                <w:sz w:val="24"/>
                <w:szCs w:val="24"/>
              </w:rPr>
              <w:t>合格</w:t>
            </w:r>
          </w:p>
        </w:tc>
        <w:tc>
          <w:tcPr>
            <w:tcW w:w="367" w:type="dxa"/>
            <w:tcBorders>
              <w:top w:val="nil"/>
              <w:left w:val="single" w:sz="4" w:space="0" w:color="auto"/>
              <w:bottom w:val="nil"/>
              <w:right w:val="nil"/>
            </w:tcBorders>
            <w:shd w:val="clear" w:color="auto" w:fill="auto"/>
            <w:noWrap/>
            <w:vAlign w:val="center"/>
            <w:hideMark/>
          </w:tcPr>
          <w:p w:rsidR="00BC7558" w:rsidRPr="00794C67" w:rsidRDefault="00BC7558" w:rsidP="00500007">
            <w:pPr>
              <w:spacing w:after="0" w:line="340" w:lineRule="exact"/>
              <w:jc w:val="both"/>
              <w:rPr>
                <w:rFonts w:ascii="宋体" w:eastAsia="宋体" w:hAnsi="宋体" w:cs="宋体"/>
                <w:sz w:val="24"/>
                <w:szCs w:val="24"/>
              </w:rPr>
            </w:pPr>
          </w:p>
        </w:tc>
      </w:tr>
      <w:tr w:rsidR="00BC7558" w:rsidRPr="006E5230" w:rsidTr="00500007">
        <w:trPr>
          <w:trHeight w:val="782"/>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3</w:t>
            </w:r>
          </w:p>
        </w:tc>
        <w:tc>
          <w:tcPr>
            <w:tcW w:w="3707"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两种定量描述葡萄酒感官特征香气分析方法的比较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院级</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创新训练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陶妍冰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7558" w:rsidRPr="00794C67" w:rsidRDefault="00BC7558" w:rsidP="00500007">
            <w:pPr>
              <w:spacing w:after="0" w:line="340" w:lineRule="exact"/>
              <w:jc w:val="both"/>
              <w:rPr>
                <w:rFonts w:ascii="宋体" w:eastAsia="宋体" w:hAnsi="宋体" w:cs="宋体"/>
                <w:sz w:val="24"/>
                <w:szCs w:val="24"/>
              </w:rPr>
            </w:pPr>
            <w:r w:rsidRPr="00794C67">
              <w:rPr>
                <w:rFonts w:ascii="宋体" w:eastAsia="宋体" w:hAnsi="宋体" w:cs="宋体" w:hint="eastAsia"/>
                <w:sz w:val="24"/>
                <w:szCs w:val="24"/>
              </w:rPr>
              <w:t>郭安鹊</w:t>
            </w:r>
          </w:p>
        </w:tc>
        <w:tc>
          <w:tcPr>
            <w:tcW w:w="1276" w:type="dxa"/>
            <w:tcBorders>
              <w:top w:val="single" w:sz="4" w:space="0" w:color="auto"/>
              <w:left w:val="nil"/>
              <w:bottom w:val="single" w:sz="4" w:space="0" w:color="auto"/>
              <w:right w:val="single" w:sz="4" w:space="0" w:color="auto"/>
            </w:tcBorders>
            <w:vAlign w:val="center"/>
          </w:tcPr>
          <w:p w:rsidR="00BC7558" w:rsidRPr="006E5230" w:rsidRDefault="00BC7558" w:rsidP="00500007">
            <w:pPr>
              <w:spacing w:after="0" w:line="340" w:lineRule="exact"/>
              <w:jc w:val="both"/>
              <w:rPr>
                <w:rFonts w:ascii="宋体" w:eastAsia="宋体" w:hAnsi="宋体" w:cs="宋体"/>
                <w:sz w:val="24"/>
                <w:szCs w:val="24"/>
              </w:rPr>
            </w:pPr>
            <w:r w:rsidRPr="006E5230">
              <w:rPr>
                <w:rFonts w:ascii="宋体" w:eastAsia="宋体" w:hAnsi="宋体" w:cs="宋体" w:hint="eastAsia"/>
                <w:sz w:val="24"/>
                <w:szCs w:val="24"/>
              </w:rPr>
              <w:t>合格</w:t>
            </w:r>
          </w:p>
        </w:tc>
        <w:tc>
          <w:tcPr>
            <w:tcW w:w="367" w:type="dxa"/>
            <w:tcBorders>
              <w:top w:val="nil"/>
              <w:left w:val="single" w:sz="4" w:space="0" w:color="auto"/>
              <w:bottom w:val="nil"/>
              <w:right w:val="nil"/>
            </w:tcBorders>
            <w:shd w:val="clear" w:color="auto" w:fill="auto"/>
            <w:noWrap/>
            <w:vAlign w:val="center"/>
            <w:hideMark/>
          </w:tcPr>
          <w:p w:rsidR="00BC7558" w:rsidRPr="00794C67" w:rsidRDefault="00BC7558" w:rsidP="00500007">
            <w:pPr>
              <w:spacing w:after="0" w:line="340" w:lineRule="exact"/>
              <w:jc w:val="both"/>
              <w:rPr>
                <w:rFonts w:ascii="宋体" w:eastAsia="宋体" w:hAnsi="宋体" w:cs="宋体"/>
                <w:sz w:val="24"/>
                <w:szCs w:val="24"/>
              </w:rPr>
            </w:pPr>
          </w:p>
        </w:tc>
      </w:tr>
    </w:tbl>
    <w:p w:rsidR="00BC7558" w:rsidRPr="006E5230" w:rsidRDefault="00BC7558" w:rsidP="00BC7558">
      <w:pPr>
        <w:spacing w:before="382"/>
        <w:ind w:firstLineChars="200" w:firstLine="562"/>
        <w:jc w:val="center"/>
        <w:outlineLvl w:val="0"/>
        <w:rPr>
          <w:rFonts w:asciiTheme="minorEastAsia" w:eastAsiaTheme="minorEastAsia" w:hAnsiTheme="minorEastAsia" w:cs="宋体"/>
          <w:b/>
          <w:kern w:val="36"/>
          <w:sz w:val="28"/>
          <w:szCs w:val="28"/>
        </w:rPr>
      </w:pPr>
      <w:r w:rsidRPr="006E5230">
        <w:rPr>
          <w:rFonts w:asciiTheme="minorEastAsia" w:eastAsiaTheme="minorEastAsia" w:hAnsiTheme="minorEastAsia" w:cs="宋体" w:hint="eastAsia"/>
          <w:b/>
          <w:kern w:val="36"/>
          <w:sz w:val="28"/>
          <w:szCs w:val="28"/>
        </w:rPr>
        <w:t>中期检查项目评审结果</w:t>
      </w:r>
    </w:p>
    <w:tbl>
      <w:tblPr>
        <w:tblW w:w="97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808"/>
        <w:gridCol w:w="851"/>
        <w:gridCol w:w="709"/>
        <w:gridCol w:w="1332"/>
        <w:gridCol w:w="1100"/>
        <w:gridCol w:w="1220"/>
      </w:tblGrid>
      <w:tr w:rsidR="00BC7558" w:rsidRPr="00A35E03" w:rsidTr="00500007">
        <w:trPr>
          <w:trHeight w:val="735"/>
        </w:trPr>
        <w:tc>
          <w:tcPr>
            <w:tcW w:w="74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bCs/>
                <w:sz w:val="24"/>
                <w:szCs w:val="24"/>
              </w:rPr>
            </w:pPr>
            <w:r w:rsidRPr="00A35E03">
              <w:rPr>
                <w:rFonts w:ascii="宋体" w:eastAsia="宋体" w:hAnsi="宋体" w:cs="宋体" w:hint="eastAsia"/>
                <w:bCs/>
                <w:sz w:val="24"/>
                <w:szCs w:val="24"/>
              </w:rPr>
              <w:t>序号</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bCs/>
                <w:sz w:val="24"/>
                <w:szCs w:val="24"/>
              </w:rPr>
            </w:pPr>
            <w:r w:rsidRPr="00A35E03">
              <w:rPr>
                <w:rFonts w:ascii="宋体" w:eastAsia="宋体" w:hAnsi="宋体" w:cs="宋体" w:hint="eastAsia"/>
                <w:bCs/>
                <w:sz w:val="24"/>
                <w:szCs w:val="24"/>
              </w:rPr>
              <w:t>项目名称</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bCs/>
                <w:sz w:val="24"/>
                <w:szCs w:val="24"/>
              </w:rPr>
            </w:pPr>
            <w:r w:rsidRPr="00A35E03">
              <w:rPr>
                <w:rFonts w:ascii="宋体" w:eastAsia="宋体" w:hAnsi="宋体" w:cs="宋体" w:hint="eastAsia"/>
                <w:bCs/>
                <w:sz w:val="24"/>
                <w:szCs w:val="24"/>
              </w:rPr>
              <w:t xml:space="preserve">项目级别        </w:t>
            </w:r>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bCs/>
                <w:sz w:val="24"/>
                <w:szCs w:val="24"/>
              </w:rPr>
            </w:pPr>
            <w:r w:rsidRPr="00A35E03">
              <w:rPr>
                <w:rFonts w:ascii="宋体" w:eastAsia="宋体" w:hAnsi="宋体" w:cs="宋体" w:hint="eastAsia"/>
                <w:bCs/>
                <w:sz w:val="24"/>
                <w:szCs w:val="24"/>
              </w:rPr>
              <w:t xml:space="preserve">项目类型   </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bCs/>
                <w:sz w:val="24"/>
                <w:szCs w:val="24"/>
              </w:rPr>
            </w:pPr>
            <w:r w:rsidRPr="00A35E03">
              <w:rPr>
                <w:rFonts w:ascii="宋体" w:eastAsia="宋体" w:hAnsi="宋体" w:cs="宋体" w:hint="eastAsia"/>
                <w:bCs/>
                <w:sz w:val="24"/>
                <w:szCs w:val="24"/>
              </w:rPr>
              <w:t>项目负责人姓名</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bCs/>
                <w:sz w:val="24"/>
                <w:szCs w:val="24"/>
              </w:rPr>
            </w:pPr>
            <w:r w:rsidRPr="00A35E03">
              <w:rPr>
                <w:rFonts w:ascii="宋体" w:eastAsia="宋体" w:hAnsi="宋体" w:cs="宋体" w:hint="eastAsia"/>
                <w:bCs/>
                <w:sz w:val="24"/>
                <w:szCs w:val="24"/>
              </w:rPr>
              <w:t>指导教师姓名</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bCs/>
                <w:sz w:val="24"/>
                <w:szCs w:val="24"/>
              </w:rPr>
            </w:pPr>
            <w:r w:rsidRPr="006E5230">
              <w:rPr>
                <w:rFonts w:ascii="宋体" w:eastAsia="宋体" w:hAnsi="宋体" w:cs="宋体" w:hint="eastAsia"/>
                <w:bCs/>
                <w:sz w:val="24"/>
                <w:szCs w:val="24"/>
              </w:rPr>
              <w:t>评审结果</w:t>
            </w:r>
          </w:p>
        </w:tc>
      </w:tr>
      <w:tr w:rsidR="00BC7558" w:rsidRPr="00A35E03" w:rsidTr="00500007">
        <w:trPr>
          <w:trHeight w:val="996"/>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1</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葡萄中的多酚物质矢车菊素-3-氧-葡萄糖苷（C3G）对肺癌细胞线粒体代谢的作用及机制研究</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高荟菡</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段婧</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2</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葡萄酒酒杯杯型和体积对葡萄酒香气品评的影响</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李姚乐</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韩富亮</w:t>
            </w:r>
            <w:proofErr w:type="gramEnd"/>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3</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葡萄酒增酸酵母筛选及其混合发酵效应研究</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张力</w:t>
            </w:r>
            <w:proofErr w:type="gramStart"/>
            <w:r w:rsidRPr="00A35E03">
              <w:rPr>
                <w:rFonts w:ascii="宋体" w:eastAsia="宋体" w:hAnsi="宋体" w:cs="宋体" w:hint="eastAsia"/>
                <w:sz w:val="24"/>
                <w:szCs w:val="24"/>
              </w:rPr>
              <w:t>婧</w:t>
            </w:r>
            <w:proofErr w:type="gramEnd"/>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宋育阳</w:t>
            </w:r>
            <w:proofErr w:type="gramEnd"/>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良好</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4</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红葡萄酒颜色的可视化表征方法和软件开发</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杨依童</w:t>
            </w:r>
            <w:proofErr w:type="gramEnd"/>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李运奎</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良好</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5</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蓝</w:t>
            </w:r>
            <w:proofErr w:type="gramStart"/>
            <w:r w:rsidRPr="00A35E03">
              <w:rPr>
                <w:rFonts w:ascii="宋体" w:eastAsia="宋体" w:hAnsi="宋体" w:cs="宋体" w:hint="eastAsia"/>
                <w:sz w:val="24"/>
                <w:szCs w:val="24"/>
              </w:rPr>
              <w:t>莓</w:t>
            </w:r>
            <w:proofErr w:type="gramEnd"/>
            <w:r w:rsidRPr="00A35E03">
              <w:rPr>
                <w:rFonts w:ascii="宋体" w:eastAsia="宋体" w:hAnsi="宋体" w:cs="宋体" w:hint="eastAsia"/>
                <w:sz w:val="24"/>
                <w:szCs w:val="24"/>
              </w:rPr>
              <w:t>-葡萄复合型果酒的产品研发及风味稳定性研究</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王瑶</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陶永胜</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良好</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6</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存放方式和存储条件对瓶装葡萄酒颜色和感官品质的影响</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关璇</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郭安鹊</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7</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转</w:t>
            </w:r>
            <w:proofErr w:type="gramStart"/>
            <w:r w:rsidRPr="00A35E03">
              <w:rPr>
                <w:rFonts w:ascii="宋体" w:eastAsia="宋体" w:hAnsi="宋体" w:cs="宋体" w:hint="eastAsia"/>
                <w:sz w:val="24"/>
                <w:szCs w:val="24"/>
              </w:rPr>
              <w:t>色期供氮对赤</w:t>
            </w:r>
            <w:proofErr w:type="gramEnd"/>
            <w:r w:rsidRPr="00A35E03">
              <w:rPr>
                <w:rFonts w:ascii="宋体" w:eastAsia="宋体" w:hAnsi="宋体" w:cs="宋体" w:hint="eastAsia"/>
                <w:sz w:val="24"/>
                <w:szCs w:val="24"/>
              </w:rPr>
              <w:t>霞珠葡萄果实风味物质的影响</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陈千逸</w:t>
            </w:r>
            <w:proofErr w:type="gramEnd"/>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孙翔宇</w:t>
            </w:r>
            <w:proofErr w:type="gramEnd"/>
            <w:r w:rsidRPr="00A35E03">
              <w:rPr>
                <w:rFonts w:ascii="宋体" w:eastAsia="宋体" w:hAnsi="宋体" w:cs="宋体" w:hint="eastAsia"/>
                <w:sz w:val="24"/>
                <w:szCs w:val="24"/>
              </w:rPr>
              <w:t>,房玉林</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良好</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8</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葡萄酒对腹泻小鼠和便秘小鼠肠道微生物菌群的调控作用及其机理研究</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刘晓萌</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孙翔宇</w:t>
            </w:r>
            <w:proofErr w:type="gramEnd"/>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9</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不同陈酿时间对甘肃河西走廊产区葡萄酒品质的影响</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张文慧</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房玉林</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lastRenderedPageBreak/>
              <w:t>10</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24-表油菜素内酯处理提高葡萄果实对灰霉病抗性的研究</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高畅</w:t>
            </w:r>
            <w:proofErr w:type="gramEnd"/>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王雪飞</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优秀</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11</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酒</w:t>
            </w:r>
            <w:proofErr w:type="gramStart"/>
            <w:r w:rsidRPr="00A35E03">
              <w:rPr>
                <w:rFonts w:ascii="宋体" w:eastAsia="宋体" w:hAnsi="宋体" w:cs="宋体" w:hint="eastAsia"/>
                <w:sz w:val="24"/>
                <w:szCs w:val="24"/>
              </w:rPr>
              <w:t>酒</w:t>
            </w:r>
            <w:proofErr w:type="gramEnd"/>
            <w:r w:rsidRPr="00A35E03">
              <w:rPr>
                <w:rFonts w:ascii="宋体" w:eastAsia="宋体" w:hAnsi="宋体" w:cs="宋体" w:hint="eastAsia"/>
                <w:sz w:val="24"/>
                <w:szCs w:val="24"/>
              </w:rPr>
              <w:t>球菌胞外多糖的生物活性研究</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彭尚然</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石侃</w:t>
            </w:r>
            <w:proofErr w:type="gramEnd"/>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12</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果实异质性对葡萄与葡萄酒缩合单宁特性的影响</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郑茗源</w:t>
            </w:r>
            <w:proofErr w:type="gramEnd"/>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刘旭</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良好</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13</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独脚金内酯对</w:t>
            </w:r>
            <w:proofErr w:type="gramStart"/>
            <w:r w:rsidRPr="00A35E03">
              <w:rPr>
                <w:rFonts w:ascii="宋体" w:eastAsia="宋体" w:hAnsi="宋体" w:cs="宋体" w:hint="eastAsia"/>
                <w:sz w:val="24"/>
                <w:szCs w:val="24"/>
              </w:rPr>
              <w:t>赤</w:t>
            </w:r>
            <w:proofErr w:type="gramEnd"/>
            <w:r w:rsidRPr="00A35E03">
              <w:rPr>
                <w:rFonts w:ascii="宋体" w:eastAsia="宋体" w:hAnsi="宋体" w:cs="宋体" w:hint="eastAsia"/>
                <w:sz w:val="24"/>
                <w:szCs w:val="24"/>
              </w:rPr>
              <w:t>霞珠葡萄根系生长发育的影响</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王子</w:t>
            </w:r>
            <w:proofErr w:type="gramStart"/>
            <w:r w:rsidRPr="00A35E03">
              <w:rPr>
                <w:rFonts w:ascii="宋体" w:eastAsia="宋体" w:hAnsi="宋体" w:cs="宋体" w:hint="eastAsia"/>
                <w:sz w:val="24"/>
                <w:szCs w:val="24"/>
              </w:rPr>
              <w:t>毓</w:t>
            </w:r>
            <w:proofErr w:type="gramEnd"/>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房玉林</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14</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酿酒酵母表面展示酸性蛋白酶发酵干白葡萄酒</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校一般</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黄蓉</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宋育阳</w:t>
            </w:r>
            <w:proofErr w:type="gramEnd"/>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良好</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15</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基于酵母混合发酵的刺葡萄蒸馏酒的增香工艺研究</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省级</w:t>
            </w:r>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张承昱</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靳国杰</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16</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工程化改造</w:t>
            </w:r>
            <w:proofErr w:type="gramStart"/>
            <w:r w:rsidRPr="00A35E03">
              <w:rPr>
                <w:rFonts w:ascii="宋体" w:eastAsia="宋体" w:hAnsi="宋体" w:cs="宋体" w:hint="eastAsia"/>
                <w:sz w:val="24"/>
                <w:szCs w:val="24"/>
              </w:rPr>
              <w:t>圆红冬孢</w:t>
            </w:r>
            <w:proofErr w:type="gramEnd"/>
            <w:r w:rsidRPr="00A35E03">
              <w:rPr>
                <w:rFonts w:ascii="宋体" w:eastAsia="宋体" w:hAnsi="宋体" w:cs="宋体" w:hint="eastAsia"/>
                <w:sz w:val="24"/>
                <w:szCs w:val="24"/>
              </w:rPr>
              <w:t>酵母构建柠檬</w:t>
            </w:r>
            <w:proofErr w:type="gramStart"/>
            <w:r w:rsidRPr="00A35E03">
              <w:rPr>
                <w:rFonts w:ascii="宋体" w:eastAsia="宋体" w:hAnsi="宋体" w:cs="宋体" w:hint="eastAsia"/>
                <w:sz w:val="24"/>
                <w:szCs w:val="24"/>
              </w:rPr>
              <w:t>烯</w:t>
            </w:r>
            <w:proofErr w:type="gramEnd"/>
            <w:r w:rsidRPr="00A35E03">
              <w:rPr>
                <w:rFonts w:ascii="宋体" w:eastAsia="宋体" w:hAnsi="宋体" w:cs="宋体" w:hint="eastAsia"/>
                <w:sz w:val="24"/>
                <w:szCs w:val="24"/>
              </w:rPr>
              <w:t>生物合成细胞工厂的研究</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国家级</w:t>
            </w:r>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任毓瑶</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杨晓兵</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优秀</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17</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中国本土高产酵母多糖菌株的筛选</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姜镛志</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刘延琳</w:t>
            </w:r>
            <w:proofErr w:type="gramEnd"/>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18</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基于量子化学方法构建优质辅色素高效筛选理论模型</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省级</w:t>
            </w:r>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刘伟</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李运奎</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19</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不同品种葡萄叶片性状数据库的建立</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省级</w:t>
            </w:r>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杨鑫</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孟江飞</w:t>
            </w:r>
            <w:proofErr w:type="gramEnd"/>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良好</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20</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基于ARTP技术的低产乙醇酵母育种研究</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省级</w:t>
            </w:r>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张凌云</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秦义</w:t>
            </w:r>
            <w:proofErr w:type="gramEnd"/>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优秀</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21</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多糖等物质对</w:t>
            </w:r>
            <w:proofErr w:type="gramStart"/>
            <w:r w:rsidRPr="00A35E03">
              <w:rPr>
                <w:rFonts w:ascii="宋体" w:eastAsia="宋体" w:hAnsi="宋体" w:cs="宋体" w:hint="eastAsia"/>
                <w:sz w:val="24"/>
                <w:szCs w:val="24"/>
              </w:rPr>
              <w:t>赤霞珠干红葡萄酒护香与</w:t>
            </w:r>
            <w:proofErr w:type="gramEnd"/>
            <w:r w:rsidRPr="00A35E03">
              <w:rPr>
                <w:rFonts w:ascii="宋体" w:eastAsia="宋体" w:hAnsi="宋体" w:cs="宋体" w:hint="eastAsia"/>
                <w:sz w:val="24"/>
                <w:szCs w:val="24"/>
              </w:rPr>
              <w:t>护色作用的研究</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创新训练项目</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王子熙</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李运奎</w:t>
            </w:r>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良好</w:t>
            </w:r>
          </w:p>
        </w:tc>
      </w:tr>
      <w:tr w:rsidR="00BC7558" w:rsidRPr="00A35E03" w:rsidTr="00500007">
        <w:trPr>
          <w:trHeight w:val="735"/>
        </w:trPr>
        <w:tc>
          <w:tcPr>
            <w:tcW w:w="74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22</w:t>
            </w:r>
          </w:p>
        </w:tc>
        <w:tc>
          <w:tcPr>
            <w:tcW w:w="3808"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酶处理促进葡萄籽</w:t>
            </w:r>
            <w:proofErr w:type="gramStart"/>
            <w:r w:rsidRPr="00A35E03">
              <w:rPr>
                <w:rFonts w:ascii="宋体" w:eastAsia="宋体" w:hAnsi="宋体" w:cs="宋体" w:hint="eastAsia"/>
                <w:sz w:val="24"/>
                <w:szCs w:val="24"/>
              </w:rPr>
              <w:t>粕</w:t>
            </w:r>
            <w:proofErr w:type="gramEnd"/>
            <w:r w:rsidRPr="00A35E03">
              <w:rPr>
                <w:rFonts w:ascii="宋体" w:eastAsia="宋体" w:hAnsi="宋体" w:cs="宋体" w:hint="eastAsia"/>
                <w:sz w:val="24"/>
                <w:szCs w:val="24"/>
              </w:rPr>
              <w:t>中多酚的释放及其抗氧化活性评价</w:t>
            </w:r>
          </w:p>
        </w:tc>
        <w:tc>
          <w:tcPr>
            <w:tcW w:w="851"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校重点</w:t>
            </w:r>
            <w:proofErr w:type="gramEnd"/>
          </w:p>
        </w:tc>
        <w:tc>
          <w:tcPr>
            <w:tcW w:w="709"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创新训练</w:t>
            </w:r>
          </w:p>
        </w:tc>
        <w:tc>
          <w:tcPr>
            <w:tcW w:w="1332"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A35E03">
              <w:rPr>
                <w:rFonts w:ascii="宋体" w:eastAsia="宋体" w:hAnsi="宋体" w:cs="宋体" w:hint="eastAsia"/>
                <w:sz w:val="24"/>
                <w:szCs w:val="24"/>
              </w:rPr>
              <w:t>瞿嘉宁</w:t>
            </w:r>
          </w:p>
        </w:tc>
        <w:tc>
          <w:tcPr>
            <w:tcW w:w="1100" w:type="dxa"/>
            <w:shd w:val="clear" w:color="auto" w:fill="auto"/>
            <w:vAlign w:val="center"/>
            <w:hideMark/>
          </w:tcPr>
          <w:p w:rsidR="00BC7558" w:rsidRPr="00A35E03" w:rsidRDefault="00BC7558" w:rsidP="00500007">
            <w:pPr>
              <w:adjustRightInd/>
              <w:snapToGrid/>
              <w:spacing w:after="0"/>
              <w:jc w:val="both"/>
              <w:rPr>
                <w:rFonts w:ascii="宋体" w:eastAsia="宋体" w:hAnsi="宋体" w:cs="宋体"/>
                <w:sz w:val="24"/>
                <w:szCs w:val="24"/>
              </w:rPr>
            </w:pPr>
            <w:proofErr w:type="gramStart"/>
            <w:r w:rsidRPr="00A35E03">
              <w:rPr>
                <w:rFonts w:ascii="宋体" w:eastAsia="宋体" w:hAnsi="宋体" w:cs="宋体" w:hint="eastAsia"/>
                <w:sz w:val="24"/>
                <w:szCs w:val="24"/>
              </w:rPr>
              <w:t>石侃</w:t>
            </w:r>
            <w:proofErr w:type="gramEnd"/>
          </w:p>
        </w:tc>
        <w:tc>
          <w:tcPr>
            <w:tcW w:w="1220" w:type="dxa"/>
            <w:shd w:val="clear" w:color="auto" w:fill="auto"/>
            <w:noWrap/>
            <w:vAlign w:val="center"/>
            <w:hideMark/>
          </w:tcPr>
          <w:p w:rsidR="00BC7558" w:rsidRPr="00A35E03" w:rsidRDefault="00BC7558" w:rsidP="00500007">
            <w:pPr>
              <w:adjustRightInd/>
              <w:snapToGrid/>
              <w:spacing w:after="0"/>
              <w:jc w:val="both"/>
              <w:rPr>
                <w:rFonts w:ascii="宋体" w:eastAsia="宋体" w:hAnsi="宋体" w:cs="宋体"/>
                <w:sz w:val="24"/>
                <w:szCs w:val="24"/>
              </w:rPr>
            </w:pPr>
            <w:r w:rsidRPr="006E5230">
              <w:rPr>
                <w:rFonts w:ascii="宋体" w:eastAsia="宋体" w:hAnsi="宋体" w:cs="宋体" w:hint="eastAsia"/>
                <w:sz w:val="24"/>
                <w:szCs w:val="24"/>
              </w:rPr>
              <w:t>合格</w:t>
            </w:r>
          </w:p>
        </w:tc>
      </w:tr>
    </w:tbl>
    <w:p w:rsidR="00C16F26" w:rsidRDefault="00C16F26">
      <w:bookmarkStart w:id="0" w:name="_GoBack"/>
      <w:bookmarkEnd w:id="0"/>
    </w:p>
    <w:sectPr w:rsidR="00C16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58"/>
    <w:rsid w:val="00BC7558"/>
    <w:rsid w:val="00C16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2B624-6A05-4D87-B3E7-1EE4F071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558"/>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1123</Characters>
  <Application>Microsoft Office Word</Application>
  <DocSecurity>0</DocSecurity>
  <Lines>9</Lines>
  <Paragraphs>2</Paragraphs>
  <ScaleCrop>false</ScaleCrop>
  <Company>ICOS</Company>
  <LinksUpToDate>false</LinksUpToDate>
  <CharactersWithSpaces>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袁照程</dc:creator>
  <cp:keywords/>
  <dc:description/>
  <cp:lastModifiedBy>袁照程</cp:lastModifiedBy>
  <cp:revision>1</cp:revision>
  <dcterms:created xsi:type="dcterms:W3CDTF">2019-11-11T07:29:00Z</dcterms:created>
  <dcterms:modified xsi:type="dcterms:W3CDTF">2019-11-11T07:29:00Z</dcterms:modified>
</cp:coreProperties>
</file>